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2020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下半年瑞安市人民医院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医疗技术临床应用质量评价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为进一步规范我院医疗技术管理，</w:t>
      </w:r>
      <w:r>
        <w:rPr>
          <w:rFonts w:hint="eastAsia"/>
          <w:color w:val="auto"/>
          <w:sz w:val="28"/>
          <w:szCs w:val="28"/>
        </w:rPr>
        <w:t>医务科对全院各科室（病区）的医疗技术</w:t>
      </w:r>
      <w:r>
        <w:rPr>
          <w:rFonts w:hint="eastAsia"/>
          <w:color w:val="auto"/>
          <w:sz w:val="28"/>
          <w:szCs w:val="28"/>
          <w:lang w:eastAsia="zh-CN"/>
        </w:rPr>
        <w:t>进行汇总评价，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2020年下半年报告总结：</w:t>
      </w:r>
    </w:p>
    <w:p>
      <w:pPr>
        <w:numPr>
          <w:ilvl w:val="0"/>
          <w:numId w:val="1"/>
        </w:numPr>
        <w:spacing w:before="50"/>
        <w:ind w:left="-640" w:leftChars="0" w:firstLine="600" w:firstLineChars="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病例统计如下：</w:t>
      </w:r>
    </w:p>
    <w:p>
      <w:pPr>
        <w:numPr>
          <w:ilvl w:val="0"/>
          <w:numId w:val="2"/>
        </w:numPr>
        <w:spacing w:before="50"/>
        <w:ind w:left="425" w:leftChars="0" w:hanging="425" w:firstLineChars="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限制类医疗技术：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体外膜肺氧合（ECMO）技术：1例，脑血管疾病介入诊疗技术</w:t>
      </w:r>
      <w:r>
        <w:rPr>
          <w:rFonts w:hint="eastAsia" w:ascii="仿宋_GB2312" w:eastAsia="仿宋_GB2312"/>
          <w:color w:val="auto"/>
          <w:sz w:val="30"/>
          <w:szCs w:val="30"/>
        </w:rPr>
        <w:t>69例，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人工关节置换技术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335</w:t>
      </w:r>
      <w:r>
        <w:rPr>
          <w:rFonts w:hint="eastAsia" w:ascii="仿宋_GB2312" w:eastAsia="仿宋_GB2312"/>
          <w:color w:val="auto"/>
          <w:sz w:val="30"/>
          <w:szCs w:val="30"/>
        </w:rPr>
        <w:t>例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、心血管疾病介入诊疗技术622例、肿瘤深部热疗和全身热疗技术</w:t>
      </w:r>
      <w:r>
        <w:rPr>
          <w:rFonts w:hint="eastAsia" w:ascii="宋体" w:hAnsi="宋体"/>
          <w:color w:val="auto"/>
          <w:sz w:val="28"/>
          <w:szCs w:val="28"/>
        </w:rPr>
        <w:t>9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61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例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、肿瘤消融治疗技术4例。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83835" cy="3897630"/>
            <wp:effectExtent l="4445" t="4445" r="7620" b="2222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numPr>
          <w:ilvl w:val="0"/>
          <w:numId w:val="2"/>
        </w:numPr>
        <w:spacing w:before="50"/>
        <w:ind w:left="425" w:leftChars="0" w:hanging="425" w:firstLineChars="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省重点质控类技术：血液透析技术41926例、高压氧治疗中心总开舱411舱，总治疗2524人次。</w:t>
      </w:r>
    </w:p>
    <w:p>
      <w:pPr>
        <w:numPr>
          <w:ilvl w:val="0"/>
          <w:numId w:val="0"/>
        </w:numPr>
        <w:spacing w:before="50"/>
        <w:ind w:leftChars="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-420" w:leftChars="0" w:firstLine="420" w:firstLineChars="0"/>
        <w:jc w:val="left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各类技术开展情况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宋体" w:hAnsi="宋体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限制类医疗技术：</w:t>
      </w:r>
    </w:p>
    <w:tbl>
      <w:tblPr>
        <w:tblStyle w:val="2"/>
        <w:tblW w:w="80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56"/>
        <w:gridCol w:w="1528"/>
        <w:gridCol w:w="1199"/>
        <w:gridCol w:w="940"/>
        <w:gridCol w:w="1442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医疗技术名称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并发症例数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适应证符合率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效果评价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国家级限制类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肿瘤深部热疗热疗技术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开展半年度评价，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疗效可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临床应用质量控制指标（2017版）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国家级限制类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肿瘤消融治疗技术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开展半年度评价，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疗效可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肿瘤消融治疗技术临床应用质量控制指标2017年版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省级限制类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心血管疾病介入诊疗技术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1例病人转归死亡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无国家级质量控制指标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省级限制类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脑血管介入治疗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开展半年度评价，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疗效可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无国家级质量控制指标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省级限制类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人工关节置换技术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10例病人非计划再次手术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无国家级质量控制指标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省级限制类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体外膜肺氧合（ECMO）技术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开展半年度评价，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疗效可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无国家级质量控制指标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2.省重点质控类技术：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2.1高压氧治疗中心质量控制指标：</w:t>
      </w:r>
    </w:p>
    <w:tbl>
      <w:tblPr>
        <w:tblStyle w:val="2"/>
        <w:tblW w:w="7416" w:type="dxa"/>
        <w:tblInd w:w="8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30"/>
        <w:gridCol w:w="948"/>
        <w:gridCol w:w="883"/>
        <w:gridCol w:w="948"/>
        <w:gridCol w:w="948"/>
        <w:gridCol w:w="1068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华文楷体" w:hAnsi="华文楷体" w:eastAsia="华文楷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18"/>
                <w:szCs w:val="18"/>
                <w:lang w:eastAsia="zh-CN"/>
              </w:rPr>
              <w:t>质量控制指标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华文楷体" w:hAnsi="华文楷体" w:eastAsia="华文楷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1"/>
                <w:szCs w:val="21"/>
                <w:lang w:eastAsia="zh-CN"/>
              </w:rPr>
              <w:t>目标值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  <w:t>7月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  <w:t>8月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  <w:t>9月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  <w:t>10月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  <w:t>11月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  <w:lang w:val="en-US" w:eastAsia="zh-CN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13"/>
                <w:szCs w:val="13"/>
              </w:rPr>
              <w:t>1）高压氧治疗有效率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1"/>
                <w:szCs w:val="21"/>
              </w:rPr>
              <w:t>&gt;80%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92.85%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82.6%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69.2%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94.1%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85%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13"/>
                <w:szCs w:val="13"/>
              </w:rPr>
              <w:t>2）舱内氧浓度达标率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1"/>
                <w:szCs w:val="21"/>
              </w:rPr>
              <w:t>&gt;95%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97.18%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98.7%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13"/>
                <w:szCs w:val="13"/>
              </w:rPr>
              <w:t>3)CO中毒患者高压氧治疗依从率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1"/>
                <w:szCs w:val="21"/>
              </w:rPr>
              <w:t>&gt;80%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80%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无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13"/>
                <w:szCs w:val="13"/>
              </w:rPr>
              <w:t>4)治疗前检查完善率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1"/>
                <w:szCs w:val="21"/>
              </w:rPr>
              <w:t>&gt;90%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88.57%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92%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93.75%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13"/>
                <w:szCs w:val="13"/>
              </w:rPr>
              <w:t>5)舱内耳气压伤发生率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1"/>
                <w:szCs w:val="21"/>
              </w:rPr>
              <w:t>&lt;1.5%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0.99%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0.47%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1.01%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0.45%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0.89%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0.34%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13"/>
                <w:szCs w:val="13"/>
              </w:rPr>
              <w:t>6)进舱前安检有效率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华文楷体" w:hAnsi="华文楷体" w:eastAsia="华文楷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1"/>
                <w:szCs w:val="21"/>
              </w:rPr>
              <w:t>100%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ascii="华文楷体" w:hAnsi="华文楷体" w:eastAsia="华文楷体"/>
                <w:color w:val="auto"/>
                <w:sz w:val="24"/>
                <w:szCs w:val="18"/>
              </w:rPr>
              <w:t>100</w:t>
            </w: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%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华文楷体" w:hAnsi="华文楷体" w:eastAsia="华文楷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华文楷体" w:hAnsi="华文楷体" w:eastAsia="华文楷体"/>
                <w:color w:val="auto"/>
                <w:sz w:val="15"/>
                <w:szCs w:val="8"/>
              </w:rPr>
              <w:t>7) 身份核对准确率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96.5%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92.5%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97.2%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99.47%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97.89%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99.40%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  <w:szCs w:val="18"/>
              </w:rPr>
              <w:t>96.5%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2.2血液透析技术：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2.2.1评估指标：</w:t>
      </w:r>
    </w:p>
    <w:tbl>
      <w:tblPr>
        <w:tblStyle w:val="2"/>
        <w:tblW w:w="8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309"/>
        <w:gridCol w:w="1514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2020下半年转归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转归类型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出院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放弃治疗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4.84%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转院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肾功能恢复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7.26%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临时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死亡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16.13%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改腹透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0.81%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left"/>
        <w:rPr>
          <w:color w:val="auto"/>
        </w:rPr>
      </w:pPr>
    </w:p>
    <w:tbl>
      <w:tblPr>
        <w:tblStyle w:val="2"/>
        <w:tblW w:w="8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324"/>
        <w:gridCol w:w="1503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2020下半年患者透析龄（生存年数）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透析龄(年)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9-10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12-13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14-15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15-16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16-17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17-18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18-19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20-21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24-25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0.17%</w:t>
            </w:r>
          </w:p>
        </w:tc>
      </w:tr>
    </w:tbl>
    <w:p>
      <w:pPr>
        <w:spacing w:before="50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2"/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55"/>
        <w:gridCol w:w="1145"/>
        <w:gridCol w:w="1297"/>
        <w:gridCol w:w="1403"/>
        <w:gridCol w:w="1191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2020下半年不良反应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导管感染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心律失常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失衡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反渗1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eastAsia="仿宋_GB2312"/>
          <w:color w:val="auto"/>
          <w:sz w:val="34"/>
          <w:szCs w:val="34"/>
          <w:lang w:eastAsia="zh-CN"/>
        </w:rPr>
      </w:pPr>
      <w:r>
        <w:rPr>
          <w:rFonts w:hint="eastAsia"/>
          <w:color w:val="auto"/>
          <w:lang w:val="en-US" w:eastAsia="zh-CN"/>
        </w:rPr>
        <w:t>2.2.2</w:t>
      </w:r>
      <w:r>
        <w:rPr>
          <w:rFonts w:hint="eastAsia" w:ascii="仿宋_GB2312" w:eastAsia="仿宋_GB2312"/>
          <w:color w:val="auto"/>
          <w:sz w:val="34"/>
          <w:szCs w:val="34"/>
          <w:lang w:eastAsia="zh-CN"/>
        </w:rPr>
        <w:t>医疗操作汇总如下：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121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2718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2020下半年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121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血液透析中心静脉置管术</w:t>
            </w:r>
          </w:p>
        </w:tc>
        <w:tc>
          <w:tcPr>
            <w:tcW w:w="2718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121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中心静脉血透导管拔除术</w:t>
            </w:r>
          </w:p>
        </w:tc>
        <w:tc>
          <w:tcPr>
            <w:tcW w:w="2718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121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高位动静脉内瘘成形术</w:t>
            </w:r>
          </w:p>
        </w:tc>
        <w:tc>
          <w:tcPr>
            <w:tcW w:w="2718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121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eastAsia="zh-CN"/>
              </w:rPr>
              <w:t>人工血管动静脉内瘘成形术</w:t>
            </w:r>
          </w:p>
        </w:tc>
        <w:tc>
          <w:tcPr>
            <w:tcW w:w="2718" w:type="dxa"/>
            <w:noWrap w:val="0"/>
            <w:vAlign w:val="top"/>
          </w:tcPr>
          <w:p>
            <w:pPr>
              <w:spacing w:before="50"/>
              <w:ind w:firstLine="600" w:firstLineChars="200"/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eastAsia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3.非</w:t>
      </w:r>
      <w:r>
        <w:rPr>
          <w:rFonts w:hint="eastAsia" w:ascii="仿宋_GB2312" w:eastAsia="仿宋_GB2312"/>
          <w:color w:val="auto"/>
          <w:sz w:val="34"/>
          <w:szCs w:val="34"/>
          <w:lang w:eastAsia="zh-CN"/>
        </w:rPr>
        <w:t>限制类医疗技术</w:t>
      </w: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：</w:t>
      </w:r>
    </w:p>
    <w:tbl>
      <w:tblPr>
        <w:tblStyle w:val="2"/>
        <w:tblW w:w="8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175"/>
        <w:gridCol w:w="1533"/>
        <w:gridCol w:w="1265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重点手术类型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总例数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并发症例数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死亡例数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非计划再次手术例数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子宫肌瘤手术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椎间盘手术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支气管镜介入治疗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胰腺恶性肿瘤手术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胃恶性肿瘤手术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胃底食管静脉曲张内镜治疗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输尿管镜下碎石取石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食道恶性肿瘤手术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仿宋_GB2312" w:eastAsia="仿宋_GB2312"/>
          <w:color w:val="auto"/>
          <w:sz w:val="34"/>
          <w:szCs w:val="3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-420" w:leftChars="0" w:firstLine="420" w:firstLineChars="0"/>
        <w:jc w:val="left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数据分析：</w:t>
      </w:r>
    </w:p>
    <w:p>
      <w:pPr>
        <w:numPr>
          <w:ilvl w:val="0"/>
          <w:numId w:val="0"/>
        </w:numPr>
        <w:spacing w:before="50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总体数据方面，2020下半年限制类手术较2020上半年有所增长，无严重手术并发症。</w:t>
      </w:r>
    </w:p>
    <w:p>
      <w:pPr>
        <w:numPr>
          <w:ilvl w:val="0"/>
          <w:numId w:val="0"/>
        </w:numPr>
        <w:spacing w:before="50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问题反馈：</w:t>
      </w:r>
    </w:p>
    <w:p>
      <w:pPr>
        <w:numPr>
          <w:ilvl w:val="0"/>
          <w:numId w:val="3"/>
        </w:numPr>
        <w:spacing w:before="50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心内二出现一例死亡患者，患者系“急性广泛前壁ST段抬高型心肌梗死 高血压 2型糖尿病 肾功能不全 高钾血症”，因为患者心肌总缺血时间过长（超过24小时），病变严重（左主干病变），存在急性心力衰竭、心源性休克、恶性心律失常、心脏骤停等严重并发症，目前不考虑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该手术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术后严重并发症引起。</w:t>
      </w:r>
    </w:p>
    <w:p>
      <w:pPr>
        <w:numPr>
          <w:ilvl w:val="0"/>
          <w:numId w:val="3"/>
        </w:numPr>
        <w:spacing w:before="50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关节外科关节置换手术非计划再次手术、术后并发症较上半年明显上升，特别是7月份、11月、12月份，分析原因是收住老年高龄患者较多，基础疾病多，手术风险大有关。</w:t>
      </w:r>
    </w:p>
    <w:p>
      <w:pPr>
        <w:numPr>
          <w:ilvl w:val="0"/>
          <w:numId w:val="3"/>
        </w:numPr>
        <w:spacing w:before="50"/>
        <w:ind w:firstLine="840" w:firstLineChars="3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高压氧治疗中心下半年身份核对准确率未达标原因：1）新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出院患者不知道要戴腕带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2）护士宣教不足，对身份核对执行不严格，安全意识不足，核对过程不仔细，未按标准流程核对病历号。</w:t>
      </w:r>
    </w:p>
    <w:p>
      <w:pPr>
        <w:numPr>
          <w:ilvl w:val="0"/>
          <w:numId w:val="3"/>
        </w:numPr>
        <w:spacing w:before="50"/>
        <w:ind w:firstLine="840" w:firstLineChars="3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2020年下半年开展的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限制类医疗技术及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省重点质控类技术不存在医疗事故。</w:t>
      </w:r>
    </w:p>
    <w:p>
      <w:pPr>
        <w:numPr>
          <w:ilvl w:val="0"/>
          <w:numId w:val="0"/>
        </w:numPr>
        <w:spacing w:before="50"/>
        <w:ind w:firstLine="840" w:firstLineChars="3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5.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2021年上半年环境及设备无明显变化。</w:t>
      </w:r>
    </w:p>
    <w:p>
      <w:pPr>
        <w:numPr>
          <w:numId w:val="0"/>
        </w:numPr>
        <w:spacing w:before="5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6.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监控的子宫肌瘤手术、椎间盘手术、支气管镜介入治疗、胰腺恶性肿瘤手术、胃恶性肿瘤手术、胃底食管静脉曲张内镜治疗、输尿管镜下碎石取石、食道恶性肿瘤手术，共894例，其中并发症8例，加强并发症管理</w:t>
      </w:r>
      <w:bookmarkStart w:id="0" w:name="_GoBack"/>
      <w:bookmarkEnd w:id="0"/>
      <w:r>
        <w:rPr>
          <w:rFonts w:hint="eastAsia" w:ascii="宋体" w:hAnsi="宋体" w:cs="Times New Roman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before="50"/>
        <w:jc w:val="right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before="50"/>
        <w:jc w:val="right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医务科</w:t>
      </w:r>
    </w:p>
    <w:p>
      <w:pPr>
        <w:numPr>
          <w:ilvl w:val="0"/>
          <w:numId w:val="0"/>
        </w:numPr>
        <w:spacing w:before="50"/>
        <w:jc w:val="right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2021.07.22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0BDA5D"/>
    <w:multiLevelType w:val="singleLevel"/>
    <w:tmpl w:val="970BDA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977FF28"/>
    <w:multiLevelType w:val="singleLevel"/>
    <w:tmpl w:val="9977FF28"/>
    <w:lvl w:ilvl="0" w:tentative="0">
      <w:start w:val="1"/>
      <w:numFmt w:val="chineseCounting"/>
      <w:suff w:val="nothing"/>
      <w:lvlText w:val="%1、"/>
      <w:lvlJc w:val="left"/>
      <w:pPr>
        <w:ind w:left="-640"/>
      </w:pPr>
      <w:rPr>
        <w:rFonts w:hint="eastAsia"/>
      </w:rPr>
    </w:lvl>
  </w:abstractNum>
  <w:abstractNum w:abstractNumId="2">
    <w:nsid w:val="9AC4B2C9"/>
    <w:multiLevelType w:val="singleLevel"/>
    <w:tmpl w:val="9AC4B2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855AD"/>
    <w:rsid w:val="07001284"/>
    <w:rsid w:val="12E1439D"/>
    <w:rsid w:val="386F40EB"/>
    <w:rsid w:val="41D86C85"/>
    <w:rsid w:val="6C3855AD"/>
    <w:rsid w:val="76AE3D81"/>
    <w:rsid w:val="77CA14F0"/>
    <w:rsid w:val="78410182"/>
    <w:rsid w:val="7C4915DB"/>
    <w:rsid w:val="7F9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限制类技术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ECMO</c:v>
                </c:pt>
                <c:pt idx="1">
                  <c:v>脑血管疾病介入</c:v>
                </c:pt>
                <c:pt idx="2">
                  <c:v>人工关节置换</c:v>
                </c:pt>
                <c:pt idx="3">
                  <c:v>心血管疾病介入</c:v>
                </c:pt>
                <c:pt idx="4">
                  <c:v>肿瘤深部热疗</c:v>
                </c:pt>
                <c:pt idx="5">
                  <c:v>肿瘤消融治疗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69</c:v>
                </c:pt>
                <c:pt idx="2">
                  <c:v>355</c:v>
                </c:pt>
                <c:pt idx="3">
                  <c:v>622</c:v>
                </c:pt>
                <c:pt idx="4">
                  <c:v>961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6936794"/>
        <c:axId val="256424850"/>
      </c:barChart>
      <c:catAx>
        <c:axId val="77693679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6424850"/>
        <c:crosses val="autoZero"/>
        <c:auto val="1"/>
        <c:lblAlgn val="ctr"/>
        <c:lblOffset val="100"/>
        <c:noMultiLvlLbl val="0"/>
      </c:catAx>
      <c:valAx>
        <c:axId val="25642485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693679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省重点质控技术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血液透析技术</c:v>
                </c:pt>
                <c:pt idx="1">
                  <c:v>医用高压氧治疗技术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41926</c:v>
                </c:pt>
                <c:pt idx="1">
                  <c:v>2524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1160434"/>
        <c:axId val="814413489"/>
      </c:barChart>
      <c:catAx>
        <c:axId val="80116043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4413489"/>
        <c:crosses val="autoZero"/>
        <c:auto val="1"/>
        <c:lblAlgn val="ctr"/>
        <c:lblOffset val="100"/>
        <c:noMultiLvlLbl val="0"/>
      </c:catAx>
      <c:valAx>
        <c:axId val="81441348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0116043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2021-11-23T01:15:00Z</dcterms:created>
  <dc:creator>Administrator</dc:creator>
  <cp:lastModifiedBy>圆脸姑娘。</cp:lastModifiedBy>
  <dcterms:modified xsi:type="dcterms:W3CDTF">2021-11-24T04:05:42Z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37F04394F14447BCA7B90E803066C0A7</vt:lpwstr>
  </property>
</Properties>
</file>