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新宋体" w:asciiTheme="minorEastAsia" w:hAnsiTheme="minorEastAsia"/>
          <w:b/>
          <w:sz w:val="30"/>
          <w:lang w:eastAsia="zh-Hans"/>
        </w:rPr>
      </w:pPr>
      <w:r>
        <w:rPr>
          <w:rFonts w:hint="eastAsia" w:cs="新宋体" w:asciiTheme="minorEastAsia" w:hAnsiTheme="minorEastAsia"/>
          <w:b/>
          <w:sz w:val="30"/>
          <w:lang w:eastAsia="zh-Hans"/>
        </w:rPr>
        <w:t>瑞安市人民医院医保控费系统项目采购要求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医保控费系统</w:t>
      </w:r>
      <w:r>
        <w:rPr>
          <w:rFonts w:hint="eastAsia"/>
          <w:b/>
          <w:sz w:val="24"/>
          <w:lang w:eastAsia="zh-Hans"/>
        </w:rPr>
        <w:t>项目情况</w:t>
      </w:r>
    </w:p>
    <w:p>
      <w:pPr>
        <w:pStyle w:val="2"/>
        <w:ind w:firstLine="0"/>
      </w:pPr>
    </w:p>
    <w:p>
      <w:pPr>
        <w:outlineLvl w:val="0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一、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Hans"/>
        </w:rPr>
        <w:t>项目基本情况</w:t>
      </w:r>
    </w:p>
    <w:p>
      <w:pPr>
        <w:spacing w:line="340" w:lineRule="exact"/>
        <w:ind w:left="510" w:firstLine="440" w:firstLineChars="200"/>
        <w:rPr>
          <w:rFonts w:ascii="宋体" w:hAnsi="宋体" w:eastAsia="宋体" w:cs="宋体"/>
          <w:sz w:val="22"/>
          <w:szCs w:val="22"/>
          <w:lang w:eastAsia="zh-Hans"/>
        </w:rPr>
      </w:pPr>
      <w:r>
        <w:rPr>
          <w:rFonts w:hint="eastAsia" w:ascii="宋体" w:hAnsi="宋体" w:eastAsia="宋体" w:cs="宋体"/>
          <w:sz w:val="22"/>
          <w:szCs w:val="22"/>
        </w:rPr>
        <w:t>本项目建设旨突出“以规则为中心”,针对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医保政策要求</w:t>
      </w:r>
      <w:r>
        <w:rPr>
          <w:rFonts w:hint="eastAsia" w:ascii="宋体" w:hAnsi="宋体" w:eastAsia="宋体" w:cs="宋体"/>
          <w:sz w:val="22"/>
          <w:szCs w:val="22"/>
        </w:rPr>
        <w:t>,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在提高医院经济和社会效益及科学管理水平的总体目标下，应用软件在开发维护中要遵循整体性能、易操作性、高效性和安全性原则，为医院提供标应用软件及数据</w:t>
      </w:r>
      <w:r>
        <w:rPr>
          <w:rFonts w:hint="eastAsia" w:ascii="宋体" w:hAnsi="宋体" w:eastAsia="宋体" w:cs="宋体"/>
          <w:sz w:val="22"/>
          <w:szCs w:val="22"/>
        </w:rPr>
        <w:t>服务,</w:t>
      </w:r>
      <w:r>
        <w:rPr>
          <w:rFonts w:hint="eastAsia" w:ascii="宋体" w:hAnsi="宋体" w:eastAsia="宋体" w:cs="宋体"/>
          <w:sz w:val="22"/>
          <w:szCs w:val="22"/>
          <w:lang w:eastAsia="zh-Hans"/>
        </w:rPr>
        <w:t>进一步提升瑞安市人民医院整体的医保基金使用及监管，</w:t>
      </w:r>
    </w:p>
    <w:p>
      <w:pPr>
        <w:spacing w:line="340" w:lineRule="exact"/>
        <w:ind w:left="510"/>
        <w:rPr>
          <w:szCs w:val="28"/>
        </w:rPr>
      </w:pPr>
    </w:p>
    <w:p>
      <w:pPr>
        <w:pStyle w:val="2"/>
        <w:ind w:left="0" w:leftChars="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szCs w:val="28"/>
          <w:lang w:val="en-US" w:eastAsia="zh-CN"/>
        </w:rPr>
        <w:t>二、</w:t>
      </w:r>
      <w:r>
        <w:rPr>
          <w:rFonts w:hint="eastAsia" w:cs="新宋体" w:asciiTheme="minorEastAsia" w:hAnsiTheme="minorEastAsia"/>
          <w:b/>
          <w:sz w:val="22"/>
          <w:szCs w:val="22"/>
          <w:lang w:eastAsia="zh-Hans"/>
        </w:rPr>
        <w:t>医保控费系统软件</w:t>
      </w:r>
      <w:r>
        <w:rPr>
          <w:rFonts w:hint="eastAsia" w:cs="新宋体" w:asciiTheme="minorEastAsia" w:hAnsiTheme="minorEastAsia"/>
          <w:b/>
          <w:sz w:val="22"/>
          <w:szCs w:val="22"/>
          <w:lang w:val="en-US" w:eastAsia="zh-CN"/>
        </w:rPr>
        <w:t>参数</w:t>
      </w:r>
    </w:p>
    <w:p>
      <w:pPr>
        <w:autoSpaceDN w:val="0"/>
        <w:spacing w:line="460" w:lineRule="exact"/>
        <w:ind w:firstLine="661" w:firstLineChars="300"/>
        <w:jc w:val="center"/>
        <w:outlineLvl w:val="1"/>
        <w:rPr>
          <w:rFonts w:hint="eastAsia" w:cs="新宋体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eastAsia" w:cs="新宋体" w:asciiTheme="minorEastAsia" w:hAnsiTheme="minorEastAsia"/>
          <w:b/>
          <w:sz w:val="22"/>
          <w:szCs w:val="22"/>
          <w:lang w:eastAsia="zh-Hans"/>
        </w:rPr>
        <w:t>医保控费系统软件</w:t>
      </w:r>
      <w:r>
        <w:rPr>
          <w:rFonts w:hint="eastAsia" w:cs="新宋体" w:asciiTheme="minorEastAsia" w:hAnsiTheme="minorEastAsia"/>
          <w:b/>
          <w:sz w:val="22"/>
          <w:szCs w:val="22"/>
          <w:lang w:val="en-US" w:eastAsia="zh-CN"/>
        </w:rPr>
        <w:t>参数</w:t>
      </w:r>
    </w:p>
    <w:tbl>
      <w:tblPr>
        <w:tblStyle w:val="5"/>
        <w:tblW w:w="10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701"/>
        <w:gridCol w:w="6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/>
                <w:sz w:val="22"/>
                <w:szCs w:val="22"/>
              </w:rPr>
              <w:t>序号</w:t>
            </w:r>
          </w:p>
        </w:tc>
        <w:tc>
          <w:tcPr>
            <w:tcW w:w="1417" w:type="dxa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/>
                <w:sz w:val="22"/>
                <w:szCs w:val="22"/>
              </w:rPr>
              <w:t>分系统名称</w:t>
            </w:r>
          </w:p>
        </w:tc>
        <w:tc>
          <w:tcPr>
            <w:tcW w:w="1701" w:type="dxa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/>
                <w:sz w:val="22"/>
                <w:szCs w:val="22"/>
              </w:rPr>
              <w:t>系统功能</w:t>
            </w:r>
          </w:p>
        </w:tc>
        <w:tc>
          <w:tcPr>
            <w:tcW w:w="6355" w:type="dxa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/>
                <w:sz w:val="22"/>
                <w:szCs w:val="22"/>
              </w:rPr>
              <w:t>功能</w:t>
            </w:r>
            <w:r>
              <w:rPr>
                <w:rFonts w:hint="eastAsia" w:cs="新宋体" w:asciiTheme="minorEastAsia" w:hAnsiTheme="minorEastAsia"/>
                <w:b/>
                <w:sz w:val="22"/>
                <w:szCs w:val="22"/>
                <w:lang w:eastAsia="zh-Hans"/>
              </w:rPr>
              <w:t>描述及维护</w:t>
            </w:r>
            <w:r>
              <w:rPr>
                <w:rFonts w:hint="eastAsia" w:cs="新宋体" w:asciiTheme="minorEastAsia" w:hAnsiTheme="minorEastAsia"/>
                <w:b/>
                <w:sz w:val="22"/>
                <w:szCs w:val="2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  <w:lang w:val="en-US" w:eastAsia="zh-CN"/>
              </w:rPr>
              <w:t>系统</w:t>
            </w:r>
            <w:r>
              <w:rPr>
                <w:rFonts w:hint="eastAsia" w:cs="新宋体" w:asciiTheme="minorEastAsia" w:hAnsiTheme="minorEastAsia"/>
                <w:sz w:val="22"/>
                <w:szCs w:val="22"/>
              </w:rPr>
              <w:t>要求</w:t>
            </w:r>
          </w:p>
        </w:tc>
        <w:tc>
          <w:tcPr>
            <w:tcW w:w="1701" w:type="dxa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6355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规则运行数据不能超过500</w:t>
            </w:r>
            <w:r>
              <w:rPr>
                <w:rFonts w:hint="eastAsia" w:cs="新宋体" w:asciiTheme="minorEastAsia" w:hAnsiTheme="minorEastAsia"/>
                <w:sz w:val="22"/>
                <w:szCs w:val="22"/>
                <w:lang w:eastAsia="zh-Hans"/>
              </w:rPr>
              <w:t>毫</w:t>
            </w:r>
            <w:r>
              <w:rPr>
                <w:rFonts w:hint="eastAsia" w:cs="新宋体" w:asciiTheme="minorEastAsia" w:hAnsiTheme="minorEastAsia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34" w:type="dxa"/>
            <w:vMerge w:val="restart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</w:rPr>
              <w:t>规则指标管理</w:t>
            </w:r>
          </w:p>
        </w:tc>
        <w:tc>
          <w:tcPr>
            <w:tcW w:w="1701" w:type="dxa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规则指标库</w:t>
            </w:r>
          </w:p>
        </w:tc>
        <w:tc>
          <w:tcPr>
            <w:tcW w:w="6355" w:type="dxa"/>
          </w:tcPr>
          <w:p>
            <w:pPr>
              <w:spacing w:line="360" w:lineRule="auto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  <w:szCs w:val="22"/>
              </w:rPr>
              <w:t>指标信息是规则管理的基础单位，用于组成算法规则基本单元，也是规则触发点。系统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  <w:szCs w:val="22"/>
              </w:rPr>
              <w:t>指标库至少包括80个以上的指标，并需要包含以下内容：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患者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指标：患者性别\患者年龄\婚姻状况\患者职业\怀孕标志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怀孕周期\哺乳标志\透析标志\过敏药物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医生指标:医生工号\医生职称\医生职务\所在科室ID\诊疗小组3、体格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指标:收缩血压\舒张血压\患者体重\患者身高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门诊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指标:就诊类型\挂号科室\处方类型\膏方标志\处方总额\药品种类\饮片贴数\单据类型\单据总额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住院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指标:医嘱类型\病区编号\科室编号\入院时间\住院天数\住院状态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药品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指标:药品类型\药品剂型\疗程天数\发药数量\给药途径\给药频次\给药时机\给药剂量\一次用量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费用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指标:费用类型\记费天数\记费频次\一次数量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检验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指标：检验结果\检验时间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检查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指标：检查结果\检查时间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诊断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指标:诊断类型\诊断编码\手术指标\手术编码\手术等级\切口类型\麻醉方法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cs="新宋体" w:asciiTheme="minorEastAsia" w:hAnsiTheme="minorEastAsia"/>
                <w:b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医保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</w:rPr>
              <w:t>指标:医保病人类型\医保药品分类\医保自负比例\医保支付类型\特殊病种\慢性病种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新宋体" w:asciiTheme="minorEastAsia" w:hAnsiTheme="minorEastAsia"/>
                <w:b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▲统计指标：最大发药数量（追溯</w:t>
            </w:r>
            <w:r>
              <w:rPr>
                <w:rFonts w:cs="新宋体" w:asciiTheme="minorEastAsia" w:hAnsiTheme="minorEastAsia"/>
                <w:sz w:val="22"/>
              </w:rPr>
              <w:t>N</w:t>
            </w:r>
            <w:r>
              <w:rPr>
                <w:rFonts w:hint="eastAsia" w:cs="新宋体" w:asciiTheme="minorEastAsia" w:hAnsiTheme="minorEastAsia"/>
                <w:sz w:val="22"/>
              </w:rPr>
              <w:t>天）\最大收费次数（追溯</w:t>
            </w:r>
            <w:r>
              <w:rPr>
                <w:rFonts w:cs="新宋体" w:asciiTheme="minorEastAsia" w:hAnsiTheme="minorEastAsia"/>
                <w:sz w:val="22"/>
              </w:rPr>
              <w:t>N</w:t>
            </w:r>
            <w:r>
              <w:rPr>
                <w:rFonts w:hint="eastAsia" w:cs="新宋体" w:asciiTheme="minorEastAsia" w:hAnsiTheme="minorEastAsia"/>
                <w:sz w:val="22"/>
              </w:rPr>
              <w:t>天）\住院期间收费项目种类（其中一天）\住院期间收费次数（其中一天）等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34" w:type="dxa"/>
            <w:vMerge w:val="continue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  <w:szCs w:val="22"/>
              </w:rPr>
              <w:t>指标维护</w:t>
            </w:r>
          </w:p>
        </w:tc>
        <w:tc>
          <w:tcPr>
            <w:tcW w:w="6355" w:type="dxa"/>
          </w:tcPr>
          <w:p>
            <w:pPr>
              <w:spacing w:line="360" w:lineRule="auto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★支持开启或停止某一个指标的追溯状态和使用状态</w:t>
            </w:r>
            <w:r>
              <w:rPr>
                <w:rFonts w:hint="eastAsia" w:asciiTheme="minorEastAsia" w:hAnsiTheme="minorEastAsia"/>
                <w:color w:val="FF0000"/>
              </w:rPr>
              <w:t>（提供系统截图证明材料）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" w:hRule="atLeast"/>
        </w:trPr>
        <w:tc>
          <w:tcPr>
            <w:tcW w:w="534" w:type="dxa"/>
            <w:vMerge w:val="continue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自定义</w:t>
            </w: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  <w:szCs w:val="22"/>
              </w:rPr>
              <w:t>指标</w:t>
            </w:r>
          </w:p>
        </w:tc>
        <w:tc>
          <w:tcPr>
            <w:tcW w:w="6355" w:type="dxa"/>
          </w:tcPr>
          <w:p>
            <w:pPr>
              <w:spacing w:line="360" w:lineRule="auto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★支持根据医院个性化需求，自定义一些规则触发的指标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534" w:type="dxa"/>
            <w:vMerge w:val="continue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</w:rPr>
              <w:t>规则</w:t>
            </w:r>
            <w:r>
              <w:rPr>
                <w:rFonts w:hint="eastAsia" w:cs="新宋体" w:asciiTheme="minorEastAsia" w:hAnsiTheme="minorEastAsia"/>
                <w:sz w:val="22"/>
                <w:szCs w:val="22"/>
              </w:rPr>
              <w:t>指标映射</w:t>
            </w:r>
          </w:p>
        </w:tc>
        <w:tc>
          <w:tcPr>
            <w:tcW w:w="6355" w:type="dxa"/>
          </w:tcPr>
          <w:p>
            <w:pPr>
              <w:spacing w:line="360" w:lineRule="auto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支持指标可以与医院内部系统的字段进行映射，无需改造医院接口或者视图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系统算法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逻辑操作符</w:t>
            </w:r>
          </w:p>
        </w:tc>
        <w:tc>
          <w:tcPr>
            <w:tcW w:w="6355" w:type="dxa"/>
          </w:tcPr>
          <w:p>
            <w:pPr>
              <w:spacing w:line="360" w:lineRule="auto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支持“加、减、乘、除、等于、不等于、大于、小于、大于等于、小于等于、与（&amp;）、子集、文本匹配、全部匹配、不包含某个值、开头匹配、开头不匹配”等算数运算、逻辑运算和字符匹配运算。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  <w:szCs w:val="22"/>
              </w:rPr>
              <w:t>规则算法</w:t>
            </w:r>
          </w:p>
        </w:tc>
        <w:tc>
          <w:tcPr>
            <w:tcW w:w="6355" w:type="dxa"/>
          </w:tcPr>
          <w:p>
            <w:pPr>
              <w:pStyle w:val="7"/>
              <w:numPr>
                <w:ilvl w:val="0"/>
                <w:numId w:val="3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系统默认规则算法不能少于</w:t>
            </w:r>
            <w:r>
              <w:rPr>
                <w:rFonts w:cs="新宋体" w:asciiTheme="minorEastAsia" w:hAnsiTheme="minorEastAsia"/>
                <w:sz w:val="22"/>
              </w:rPr>
              <w:t>6</w:t>
            </w:r>
            <w:r>
              <w:rPr>
                <w:rFonts w:hint="eastAsia" w:cs="新宋体" w:asciiTheme="minorEastAsia" w:hAnsiTheme="minorEastAsia"/>
                <w:sz w:val="22"/>
              </w:rPr>
              <w:t>条</w:t>
            </w:r>
          </w:p>
          <w:p>
            <w:pPr>
              <w:pStyle w:val="7"/>
              <w:numPr>
                <w:ilvl w:val="0"/>
                <w:numId w:val="3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规则算法根据指标，系统支持一个或者多个指标的算数运算逻辑运算和字符匹配运算。</w:t>
            </w:r>
          </w:p>
          <w:p>
            <w:pPr>
              <w:pStyle w:val="7"/>
              <w:numPr>
                <w:ilvl w:val="0"/>
                <w:numId w:val="3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支持系统前端页面进行规则算法设置、维护以及管理。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/>
              </w:rPr>
              <w:t>规则管理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规则制定</w:t>
            </w:r>
          </w:p>
        </w:tc>
        <w:tc>
          <w:tcPr>
            <w:tcW w:w="6355" w:type="dxa"/>
          </w:tcPr>
          <w:p>
            <w:pPr>
              <w:pStyle w:val="7"/>
              <w:numPr>
                <w:ilvl w:val="0"/>
                <w:numId w:val="4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支持系统前端页面图像化界面制定规则</w:t>
            </w:r>
          </w:p>
          <w:p>
            <w:pPr>
              <w:pStyle w:val="7"/>
              <w:numPr>
                <w:ilvl w:val="0"/>
                <w:numId w:val="4"/>
              </w:numPr>
              <w:spacing w:line="360" w:lineRule="auto"/>
              <w:ind w:firstLineChars="0"/>
              <w:rPr>
                <w:rFonts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支持图像化选择规则指标和规则算法，并定义相应的规则</w:t>
            </w:r>
          </w:p>
          <w:p>
            <w:pPr>
              <w:pStyle w:val="7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支持规则算法串联或者并联制定</w:t>
            </w:r>
          </w:p>
          <w:p>
            <w:pPr>
              <w:pStyle w:val="7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支持规则算法与一个指标或者多个指标绑定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规则管理</w:t>
            </w:r>
          </w:p>
        </w:tc>
        <w:tc>
          <w:tcPr>
            <w:tcW w:w="6355" w:type="dxa"/>
          </w:tcPr>
          <w:p>
            <w:pPr>
              <w:pStyle w:val="2"/>
              <w:numPr>
                <w:ilvl w:val="0"/>
                <w:numId w:val="5"/>
              </w:numPr>
              <w:spacing w:line="360" w:lineRule="auto"/>
              <w:jc w:val="left"/>
              <w:rPr>
                <w:rFonts w:cs="新宋体" w:asciiTheme="minorEastAsia" w:hAnsiTheme="minorEastAsia"/>
                <w:b w:val="0"/>
                <w:kern w:val="2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 w:val="0"/>
                <w:kern w:val="2"/>
                <w:sz w:val="22"/>
                <w:szCs w:val="22"/>
              </w:rPr>
              <w:t>支持规则启用、停止或者删除管理</w:t>
            </w:r>
          </w:p>
          <w:p>
            <w:pPr>
              <w:pStyle w:val="7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支持规则分类、检索以及规则实例信息展现，用于规则使用时提供规则实行的目的意义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规则实例化</w:t>
            </w:r>
          </w:p>
        </w:tc>
        <w:tc>
          <w:tcPr>
            <w:tcW w:w="6355" w:type="dxa"/>
          </w:tcPr>
          <w:p>
            <w:pPr>
              <w:pStyle w:val="2"/>
              <w:numPr>
                <w:ilvl w:val="0"/>
                <w:numId w:val="6"/>
              </w:numPr>
              <w:spacing w:line="360" w:lineRule="auto"/>
              <w:jc w:val="left"/>
              <w:rPr>
                <w:rFonts w:cs="新宋体" w:asciiTheme="minorEastAsia" w:hAnsiTheme="minorEastAsia"/>
                <w:b w:val="0"/>
                <w:kern w:val="2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 w:val="0"/>
                <w:kern w:val="2"/>
                <w:sz w:val="22"/>
                <w:szCs w:val="22"/>
              </w:rPr>
              <w:t>规则实例化以后，规则才能可以被别的系统调用以及运行</w:t>
            </w:r>
          </w:p>
          <w:p>
            <w:pPr>
              <w:pStyle w:val="7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规则实例化支持药品、费用、诊疗信息等医院现有医疗数据</w:t>
            </w:r>
          </w:p>
          <w:p>
            <w:pPr>
              <w:pStyle w:val="7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可以根据编码（药品、费用、诊疗信息）等进行配置实例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规则实例化管理</w:t>
            </w:r>
          </w:p>
        </w:tc>
        <w:tc>
          <w:tcPr>
            <w:tcW w:w="6355" w:type="dxa"/>
          </w:tcPr>
          <w:p>
            <w:pPr>
              <w:pStyle w:val="7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支持规则实例化数据启用、停止或者删除管理</w:t>
            </w:r>
          </w:p>
          <w:p>
            <w:pPr>
              <w:pStyle w:val="7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支持规则实例化数据分类管理</w:t>
            </w:r>
          </w:p>
          <w:p>
            <w:pPr>
              <w:pStyle w:val="7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支持多个条件进行筛选查找。通过“处理类别”，“实例类别分类”，“规则名称”，“监管对象”，“指标名称”，“使用状态”等多条件进行查询</w:t>
            </w:r>
          </w:p>
          <w:p>
            <w:pPr>
              <w:pStyle w:val="7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支持规则实例化数据导出功能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</w:rPr>
              <w:t>规则审批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规则启用审批管理</w:t>
            </w:r>
          </w:p>
        </w:tc>
        <w:tc>
          <w:tcPr>
            <w:tcW w:w="6355" w:type="dxa"/>
          </w:tcPr>
          <w:p>
            <w:pPr>
              <w:pStyle w:val="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支持规则实例化</w:t>
            </w:r>
            <w:r>
              <w:rPr>
                <w:rFonts w:hint="eastAsia" w:cs="新宋体" w:asciiTheme="minorEastAsia" w:hAnsiTheme="minorEastAsia"/>
                <w:bCs/>
                <w:sz w:val="22"/>
              </w:rPr>
              <w:t>启用</w:t>
            </w:r>
            <w:r>
              <w:rPr>
                <w:rFonts w:hint="eastAsia" w:asciiTheme="minorEastAsia" w:hAnsiTheme="minorEastAsia"/>
              </w:rPr>
              <w:t>审批功能，没有审批无法运行</w:t>
            </w:r>
          </w:p>
          <w:p>
            <w:pPr>
              <w:pStyle w:val="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支持权限管理，管控规则实例化</w:t>
            </w:r>
            <w:r>
              <w:rPr>
                <w:rFonts w:hint="eastAsia" w:cs="新宋体" w:asciiTheme="minorEastAsia" w:hAnsiTheme="minorEastAsia"/>
                <w:bCs/>
                <w:sz w:val="22"/>
              </w:rPr>
              <w:t>启用</w:t>
            </w:r>
            <w:r>
              <w:rPr>
                <w:rFonts w:hint="eastAsia" w:asciiTheme="minorEastAsia" w:hAnsiTheme="minorEastAsia"/>
              </w:rPr>
              <w:t>审批权限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rPr>
                <w:rFonts w:cs="新宋体"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规则启用审批查询</w:t>
            </w:r>
          </w:p>
        </w:tc>
        <w:tc>
          <w:tcPr>
            <w:tcW w:w="6355" w:type="dxa"/>
          </w:tcPr>
          <w:p>
            <w:pPr>
              <w:pStyle w:val="2"/>
              <w:ind w:firstLine="34"/>
              <w:jc w:val="left"/>
              <w:rPr>
                <w:rFonts w:cs="新宋体" w:asciiTheme="minorEastAsia" w:hAnsiTheme="minorEastAsia"/>
                <w:b w:val="0"/>
                <w:kern w:val="2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 w:val="0"/>
                <w:kern w:val="2"/>
                <w:sz w:val="22"/>
                <w:szCs w:val="22"/>
              </w:rPr>
              <w:t>★可以查询规则启用审批记录日志，包括审批人、审批时间、审批内容</w:t>
            </w:r>
            <w:r>
              <w:rPr>
                <w:rFonts w:hint="eastAsia" w:asciiTheme="minorEastAsia" w:hAnsiTheme="minorEastAsia"/>
                <w:b w:val="0"/>
                <w:color w:val="FF0000"/>
              </w:rPr>
              <w:t>（提供系统截图证明材料）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规则运行记忆审批</w:t>
            </w:r>
          </w:p>
        </w:tc>
        <w:tc>
          <w:tcPr>
            <w:tcW w:w="635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★1、支持某一个患者已经审批过的一条规则记录，通过记忆审批管理，在某一个时间段内无需在审批</w:t>
            </w:r>
            <w:r>
              <w:rPr>
                <w:rFonts w:hint="eastAsia" w:asciiTheme="minorEastAsia" w:hAnsiTheme="minorEastAsia"/>
                <w:color w:val="FF0000"/>
              </w:rPr>
              <w:t>（提供系统截图证明材料）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2、支持规则运行记忆审批管理，包括启用、关闭等功能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、支持规则运行记忆审批历史</w:t>
            </w:r>
            <w:r>
              <w:rPr>
                <w:rFonts w:hint="eastAsia" w:asciiTheme="minorEastAsia" w:hAnsiTheme="minorEastAsia"/>
                <w:b/>
              </w:rPr>
              <w:t>校验</w:t>
            </w:r>
            <w:r>
              <w:rPr>
                <w:rFonts w:hint="eastAsia" w:asciiTheme="minorEastAsia" w:hAnsiTheme="minorEastAsia"/>
              </w:rPr>
              <w:t>记录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  <w:r>
              <w:rPr>
                <w:rFonts w:hint="eastAsia" w:asciiTheme="minorEastAsia" w:hAnsiTheme="minorEastAsia"/>
              </w:rPr>
              <w:t>、支持规则运行记忆审批历史</w:t>
            </w:r>
            <w:r>
              <w:rPr>
                <w:rFonts w:hint="eastAsia" w:asciiTheme="minorEastAsia" w:hAnsiTheme="minorEastAsia"/>
                <w:b/>
              </w:rPr>
              <w:t>操作</w:t>
            </w:r>
            <w:r>
              <w:rPr>
                <w:rFonts w:hint="eastAsia" w:asciiTheme="minorEastAsia" w:hAnsiTheme="minorEastAsia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34" w:type="dxa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数据维护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医院数据库维护</w:t>
            </w:r>
          </w:p>
        </w:tc>
        <w:tc>
          <w:tcPr>
            <w:tcW w:w="6355" w:type="dxa"/>
          </w:tcPr>
          <w:p>
            <w:pPr>
              <w:pStyle w:val="2"/>
              <w:spacing w:line="360" w:lineRule="auto"/>
              <w:ind w:firstLine="34"/>
              <w:jc w:val="left"/>
              <w:rPr>
                <w:rFonts w:cs="新宋体" w:asciiTheme="minorEastAsia" w:hAnsiTheme="minorEastAsia"/>
                <w:b w:val="0"/>
                <w:kern w:val="2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 w:val="0"/>
                <w:kern w:val="2"/>
                <w:sz w:val="22"/>
                <w:szCs w:val="22"/>
              </w:rPr>
              <w:t>支持医院数据药品信息、费用目录、手术目录、疾病目录、科室信息、诊疗小组、员工信息实时同步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34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cs="新宋体" w:asciiTheme="minorEastAsia" w:hAnsi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事后自查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事后任务校验</w:t>
            </w:r>
          </w:p>
        </w:tc>
        <w:tc>
          <w:tcPr>
            <w:tcW w:w="6355" w:type="dxa"/>
          </w:tcPr>
          <w:p>
            <w:pPr>
              <w:pStyle w:val="2"/>
              <w:spacing w:line="360" w:lineRule="auto"/>
              <w:ind w:firstLine="34"/>
              <w:jc w:val="left"/>
              <w:rPr>
                <w:rFonts w:hint="eastAsia" w:cs="新宋体" w:asciiTheme="minorEastAsia" w:hAnsiTheme="minorEastAsia"/>
                <w:b w:val="0"/>
                <w:kern w:val="2"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▲</w:t>
            </w:r>
            <w:r>
              <w:rPr>
                <w:rFonts w:hint="eastAsia" w:cs="新宋体" w:asciiTheme="minorEastAsia" w:hAnsiTheme="minorEastAsia"/>
                <w:b w:val="0"/>
                <w:kern w:val="2"/>
                <w:sz w:val="22"/>
                <w:szCs w:val="22"/>
              </w:rPr>
              <w:t>支持事后自查功能，根据处理类别、规则、实例，可以按照提交任务的形式进行事后自查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cs="新宋体" w:asciiTheme="minorEastAsia" w:hAnsiTheme="minorEastAsia"/>
                <w:bCs/>
                <w:sz w:val="22"/>
                <w:szCs w:val="22"/>
              </w:rPr>
            </w:pPr>
            <w:r>
              <w:rPr>
                <w:rFonts w:hint="eastAsia" w:cs="新宋体" w:asciiTheme="minorEastAsia" w:hAnsi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触发记录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事前触发记录</w:t>
            </w:r>
          </w:p>
        </w:tc>
        <w:tc>
          <w:tcPr>
            <w:tcW w:w="6355" w:type="dxa"/>
          </w:tcPr>
          <w:p>
            <w:pPr>
              <w:pStyle w:val="2"/>
              <w:spacing w:line="360" w:lineRule="auto"/>
              <w:ind w:firstLine="34"/>
              <w:jc w:val="left"/>
              <w:rPr>
                <w:rFonts w:hint="eastAsia"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▲</w:t>
            </w:r>
            <w:r>
              <w:rPr>
                <w:rFonts w:hint="eastAsia" w:cs="新宋体" w:asciiTheme="minorEastAsia" w:hAnsiTheme="minorEastAsia"/>
                <w:b w:val="0"/>
                <w:kern w:val="2"/>
                <w:sz w:val="22"/>
                <w:szCs w:val="22"/>
              </w:rPr>
              <w:t>支持对事前触发记录的内容进行记录及查看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cs="新宋体"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事后触发记录</w:t>
            </w:r>
          </w:p>
        </w:tc>
        <w:tc>
          <w:tcPr>
            <w:tcW w:w="6355" w:type="dxa"/>
          </w:tcPr>
          <w:p>
            <w:pPr>
              <w:pStyle w:val="2"/>
              <w:spacing w:line="360" w:lineRule="auto"/>
              <w:ind w:firstLine="34"/>
              <w:jc w:val="left"/>
              <w:rPr>
                <w:rFonts w:hint="eastAsia" w:cs="新宋体" w:asciiTheme="minorEastAsia" w:hAnsiTheme="minorEastAsia"/>
                <w:sz w:val="22"/>
              </w:rPr>
            </w:pPr>
            <w:r>
              <w:rPr>
                <w:rFonts w:hint="eastAsia" w:cs="新宋体" w:asciiTheme="minorEastAsia" w:hAnsiTheme="minorEastAsia"/>
                <w:sz w:val="22"/>
              </w:rPr>
              <w:t>▲</w:t>
            </w:r>
            <w:r>
              <w:rPr>
                <w:rFonts w:hint="eastAsia" w:cs="新宋体" w:asciiTheme="minorEastAsia" w:hAnsiTheme="minorEastAsia"/>
                <w:b w:val="0"/>
                <w:kern w:val="2"/>
                <w:sz w:val="22"/>
                <w:szCs w:val="22"/>
              </w:rPr>
              <w:t>支持对事后触发记录的内容进行记录及查看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p/>
    <w:p>
      <w:pPr>
        <w:autoSpaceDN w:val="0"/>
        <w:spacing w:line="460" w:lineRule="exact"/>
        <w:ind w:firstLine="440" w:firstLineChars="200"/>
        <w:rPr>
          <w:rFonts w:cs="新宋体" w:asciiTheme="minorEastAsia" w:hAnsiTheme="minorEastAsia"/>
          <w:b/>
          <w:sz w:val="22"/>
          <w:szCs w:val="22"/>
        </w:rPr>
      </w:pPr>
      <w:r>
        <w:rPr>
          <w:rFonts w:hint="eastAsia" w:cs="新宋体" w:asciiTheme="minorEastAsia" w:hAnsiTheme="minorEastAsia"/>
          <w:b/>
          <w:sz w:val="22"/>
          <w:szCs w:val="22"/>
          <w:lang w:val="en-US" w:eastAsia="zh-CN"/>
        </w:rPr>
        <w:t>其他</w:t>
      </w:r>
      <w:r>
        <w:rPr>
          <w:rFonts w:hint="eastAsia" w:cs="新宋体" w:asciiTheme="minorEastAsia" w:hAnsiTheme="minorEastAsia"/>
          <w:b/>
          <w:sz w:val="22"/>
          <w:szCs w:val="22"/>
          <w:lang w:eastAsia="zh-Hans"/>
        </w:rPr>
        <w:t>技术参数及</w:t>
      </w:r>
      <w:r>
        <w:rPr>
          <w:rFonts w:hint="eastAsia" w:cs="新宋体" w:asciiTheme="minorEastAsia" w:hAnsiTheme="minorEastAsia"/>
          <w:b/>
          <w:sz w:val="22"/>
          <w:szCs w:val="22"/>
        </w:rPr>
        <w:t>要求：</w:t>
      </w:r>
    </w:p>
    <w:p>
      <w:pPr>
        <w:pStyle w:val="7"/>
        <w:numPr>
          <w:ilvl w:val="0"/>
          <w:numId w:val="9"/>
        </w:numPr>
        <w:autoSpaceDN w:val="0"/>
        <w:spacing w:line="460" w:lineRule="exact"/>
        <w:ind w:firstLineChars="0"/>
        <w:rPr>
          <w:rFonts w:cs="新宋体" w:asciiTheme="minorEastAsia" w:hAnsiTheme="minorEastAsia"/>
          <w:bCs/>
          <w:sz w:val="22"/>
        </w:rPr>
      </w:pPr>
      <w:r>
        <w:rPr>
          <w:rFonts w:hint="eastAsia" w:cs="新宋体" w:asciiTheme="minorEastAsia" w:hAnsiTheme="minorEastAsia"/>
          <w:bCs/>
          <w:sz w:val="22"/>
        </w:rPr>
        <w:t>系统采用基于JAVA架构，能满足医院的总体需求；</w:t>
      </w:r>
    </w:p>
    <w:p>
      <w:pPr>
        <w:pStyle w:val="7"/>
        <w:numPr>
          <w:ilvl w:val="0"/>
          <w:numId w:val="9"/>
        </w:numPr>
        <w:autoSpaceDN w:val="0"/>
        <w:spacing w:line="460" w:lineRule="exact"/>
        <w:ind w:firstLineChars="0"/>
        <w:rPr>
          <w:rFonts w:cs="新宋体" w:asciiTheme="minorEastAsia" w:hAnsiTheme="minorEastAsia"/>
          <w:bCs/>
          <w:sz w:val="22"/>
        </w:rPr>
      </w:pPr>
      <w:r>
        <w:rPr>
          <w:rFonts w:hint="eastAsia" w:cs="新宋体" w:asciiTheme="minorEastAsia" w:hAnsiTheme="minorEastAsia"/>
          <w:bCs/>
          <w:sz w:val="22"/>
          <w:lang w:val="en-US" w:eastAsia="zh-CN"/>
        </w:rPr>
        <w:t>提供医保标准库及定期更新服务</w:t>
      </w:r>
    </w:p>
    <w:p>
      <w:pPr>
        <w:pStyle w:val="7"/>
        <w:numPr>
          <w:ilvl w:val="0"/>
          <w:numId w:val="9"/>
        </w:numPr>
        <w:autoSpaceDN w:val="0"/>
        <w:spacing w:line="460" w:lineRule="exact"/>
        <w:ind w:firstLineChars="0"/>
        <w:rPr>
          <w:rFonts w:cs="新宋体" w:asciiTheme="minorEastAsia" w:hAnsiTheme="minorEastAsia"/>
          <w:bCs/>
          <w:sz w:val="22"/>
        </w:rPr>
      </w:pPr>
      <w:r>
        <w:rPr>
          <w:rFonts w:hint="eastAsia" w:cs="新宋体" w:asciiTheme="minorEastAsia" w:hAnsiTheme="minorEastAsia"/>
          <w:bCs/>
          <w:sz w:val="22"/>
        </w:rPr>
        <w:t>供应商须</w:t>
      </w:r>
      <w:r>
        <w:rPr>
          <w:rFonts w:hint="eastAsia" w:cs="新宋体" w:asciiTheme="minorEastAsia" w:hAnsiTheme="minorEastAsia"/>
          <w:bCs/>
          <w:sz w:val="22"/>
          <w:lang w:val="en-US" w:eastAsia="zh-CN"/>
        </w:rPr>
        <w:t>根据医保政策要求，对系统规则制定及应用进行全程</w:t>
      </w:r>
      <w:r>
        <w:rPr>
          <w:rFonts w:hint="eastAsia" w:cs="新宋体" w:asciiTheme="minorEastAsia" w:hAnsiTheme="minorEastAsia"/>
          <w:bCs/>
          <w:sz w:val="22"/>
        </w:rPr>
        <w:t>服务</w:t>
      </w:r>
      <w:r>
        <w:rPr>
          <w:rFonts w:hint="eastAsia" w:cs="新宋体" w:asciiTheme="minorEastAsia" w:hAnsiTheme="minorEastAsia"/>
          <w:bCs/>
          <w:sz w:val="22"/>
          <w:lang w:eastAsia="zh-CN"/>
        </w:rPr>
        <w:t>；</w:t>
      </w:r>
    </w:p>
    <w:p>
      <w:pPr>
        <w:pStyle w:val="7"/>
        <w:numPr>
          <w:ilvl w:val="0"/>
          <w:numId w:val="9"/>
        </w:numPr>
        <w:autoSpaceDN w:val="0"/>
        <w:spacing w:line="460" w:lineRule="exact"/>
        <w:ind w:firstLineChars="0"/>
        <w:rPr>
          <w:rFonts w:cs="新宋体" w:asciiTheme="minorEastAsia" w:hAnsiTheme="minorEastAsia"/>
          <w:bCs/>
          <w:sz w:val="22"/>
        </w:rPr>
      </w:pPr>
      <w:r>
        <w:rPr>
          <w:rFonts w:hint="eastAsia" w:cs="新宋体" w:asciiTheme="minorEastAsia" w:hAnsiTheme="minorEastAsia"/>
          <w:bCs/>
          <w:sz w:val="22"/>
          <w:lang w:val="en-US" w:eastAsia="zh-CN"/>
        </w:rPr>
        <w:t>供应商须根据医保飞行检查规则进行模拟数据服务；</w:t>
      </w:r>
    </w:p>
    <w:p>
      <w:pPr>
        <w:pStyle w:val="7"/>
        <w:numPr>
          <w:numId w:val="0"/>
        </w:numPr>
        <w:autoSpaceDN w:val="0"/>
        <w:spacing w:line="460" w:lineRule="exact"/>
        <w:rPr>
          <w:rFonts w:cs="新宋体" w:asciiTheme="minorEastAsia" w:hAnsiTheme="minorEastAsia"/>
          <w:bCs/>
          <w:sz w:val="22"/>
        </w:rPr>
      </w:pPr>
    </w:p>
    <w:p>
      <w:pPr>
        <w:pStyle w:val="4"/>
        <w:numPr>
          <w:ilvl w:val="0"/>
          <w:numId w:val="10"/>
        </w:numPr>
        <w:ind w:left="0" w:leftChars="0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评分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Hans"/>
        </w:rPr>
        <w:t>办法及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标准</w:t>
      </w:r>
    </w:p>
    <w:p>
      <w:pPr>
        <w:pStyle w:val="2"/>
      </w:pPr>
    </w:p>
    <w:tbl>
      <w:tblPr>
        <w:tblStyle w:val="5"/>
        <w:tblW w:w="9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355"/>
        <w:gridCol w:w="920"/>
        <w:gridCol w:w="5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序号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评分内容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满分</w:t>
            </w:r>
          </w:p>
        </w:tc>
        <w:tc>
          <w:tcPr>
            <w:tcW w:w="5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评分标准说明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新宋体" w:hAnsi="新宋体" w:eastAsia="新宋体" w:cs="新宋体"/>
                <w:sz w:val="22"/>
                <w:szCs w:val="22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新宋体" w:hAnsi="新宋体" w:eastAsia="新宋体" w:cs="新宋体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</w:p>
        </w:tc>
        <w:tc>
          <w:tcPr>
            <w:tcW w:w="5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新宋体" w:hAnsi="新宋体" w:eastAsia="新宋体" w:cs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投标人综合实力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3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根据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投标人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企业的综合实力、知名度和信誉等情况，以及项目运行、维护、建设能力等情况进行比较打分（0-3分）</w:t>
            </w:r>
            <w:r>
              <w:rPr>
                <w:rFonts w:hint="eastAsia" w:ascii="新宋体" w:hAnsi="新宋体" w:eastAsia="新宋体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12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rPr>
                <w:rFonts w:ascii="新宋体" w:hAnsi="新宋体" w:eastAsia="新宋体" w:cs="新宋体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投标人或制造商具备医保单病种控费系统、医保管理平台、医保病组控费系统、医保总额控费软件、医保规则库控费系统的计算机软件著作权或软件产品登记证书，每提供1个得2分，最高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得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10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分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；</w:t>
            </w:r>
          </w:p>
          <w:p>
            <w:pPr>
              <w:spacing w:line="460" w:lineRule="exact"/>
              <w:ind w:left="-5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投标人或制造商具备医疗</w:t>
            </w:r>
            <w:r>
              <w:rPr>
                <w:rFonts w:ascii="新宋体" w:hAnsi="新宋体" w:eastAsia="新宋体" w:cs="新宋体"/>
                <w:bCs/>
                <w:sz w:val="22"/>
                <w:szCs w:val="22"/>
              </w:rPr>
              <w:t>规则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引擎管理系统、医疗合理用药管理软件的计算机软件著作权或软件产品登记证书，每提供1个得</w:t>
            </w:r>
            <w:r>
              <w:rPr>
                <w:rFonts w:ascii="新宋体" w:hAnsi="新宋体" w:eastAsia="新宋体" w:cs="新宋体"/>
                <w:bCs/>
                <w:sz w:val="22"/>
                <w:szCs w:val="22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分，最高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得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2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分。</w:t>
            </w:r>
          </w:p>
          <w:p>
            <w:pPr>
              <w:spacing w:line="460" w:lineRule="exact"/>
              <w:ind w:left="-50"/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须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提供证书复印件并加盖公章，不提供不得分。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人员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投入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5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/>
              <w:rPr>
                <w:rFonts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根据</w:t>
            </w:r>
            <w:r>
              <w:rPr>
                <w:rFonts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投标人提供的投入本项目的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项目服务团队人数</w:t>
            </w:r>
            <w:r>
              <w:rPr>
                <w:rFonts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、成员资质、成员项目经验等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内容</w:t>
            </w:r>
            <w:r>
              <w:rPr>
                <w:rFonts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由专家比较打分（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0-</w:t>
            </w:r>
            <w:r>
              <w:rPr>
                <w:rFonts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5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分</w:t>
            </w:r>
            <w:r>
              <w:rPr>
                <w:rFonts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）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2"/>
                <w:sz w:val="22"/>
                <w:szCs w:val="22"/>
              </w:rPr>
              <w:t>。</w:t>
            </w:r>
          </w:p>
          <w:p>
            <w:pPr>
              <w:pStyle w:val="2"/>
              <w:spacing w:line="460" w:lineRule="exact"/>
              <w:ind w:firstLine="0"/>
              <w:rPr>
                <w:rFonts w:ascii="新宋体" w:hAnsi="新宋体" w:eastAsia="新宋体" w:cs="新宋体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证书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类证明材料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须提供证书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复印件加盖公章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，项目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服务团队人员须提供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社保证明。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技术参数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25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根据投标人提供所投产品技术参数要求与招标文件的</w:t>
            </w:r>
            <w:r>
              <w:rPr>
                <w:rFonts w:hint="eastAsia" w:ascii="宋体" w:hAnsi="宋体" w:cs="仿宋"/>
                <w:b/>
                <w:bCs/>
                <w:sz w:val="22"/>
                <w:szCs w:val="22"/>
              </w:rPr>
              <w:t>招标</w:t>
            </w:r>
            <w:r>
              <w:rPr>
                <w:rFonts w:ascii="宋体" w:hAnsi="宋体" w:cs="仿宋"/>
                <w:b/>
                <w:bCs/>
                <w:sz w:val="22"/>
                <w:szCs w:val="22"/>
              </w:rPr>
              <w:t>内容及要求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的响应程度，全部满足或优于的，得2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5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分；每负偏离一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项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扣1分，带★项不满足每负偏离一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项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扣2分，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扣完为止。</w:t>
            </w:r>
          </w:p>
          <w:p>
            <w:pPr>
              <w:spacing w:line="460" w:lineRule="exact"/>
              <w:ind w:left="-5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szCs w:val="22"/>
              </w:rPr>
              <w:t>注：未按要求提供相关证明材料视为负偏离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4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实施保障方案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6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ind w:left="-10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根据投标人提供的项目实施保障方案（包括项目实施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标准规范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、质量保证体系、建设进度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计划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等方面控制的必要措施等内容）安排是否合理、各工作方案内容是否切实可行等综合情况由专家比较打分。（0-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应急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方案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6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ind w:left="-10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根据投标人提供的应急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方案</w:t>
            </w:r>
            <w:r>
              <w:rPr>
                <w:rFonts w:ascii="新宋体" w:hAnsi="新宋体" w:eastAsia="新宋体" w:cs="新宋体"/>
                <w:bCs/>
                <w:sz w:val="22"/>
                <w:szCs w:val="22"/>
              </w:rPr>
              <w:t>（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故障应急</w:t>
            </w:r>
            <w:r>
              <w:rPr>
                <w:rFonts w:ascii="新宋体" w:hAnsi="新宋体" w:eastAsia="新宋体" w:cs="新宋体"/>
                <w:bCs/>
                <w:sz w:val="22"/>
                <w:szCs w:val="22"/>
              </w:rPr>
              <w:t>方案、应急措施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等</w:t>
            </w:r>
            <w:r>
              <w:rPr>
                <w:rFonts w:ascii="新宋体" w:hAnsi="新宋体" w:eastAsia="新宋体" w:cs="新宋体"/>
                <w:bCs/>
                <w:sz w:val="22"/>
                <w:szCs w:val="22"/>
              </w:rPr>
              <w:t>内容）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先进性、合理性、兼容性及稳定性等综合情况</w:t>
            </w:r>
            <w:r>
              <w:rPr>
                <w:rFonts w:ascii="新宋体" w:hAnsi="新宋体" w:eastAsia="新宋体" w:cs="新宋体"/>
                <w:bCs/>
                <w:sz w:val="22"/>
                <w:szCs w:val="22"/>
              </w:rPr>
              <w:t>由专家</w:t>
            </w: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比较打分。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（0-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培训方案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5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根据投标人</w:t>
            </w:r>
            <w:r>
              <w:rPr>
                <w:rFonts w:ascii="新宋体" w:hAnsi="新宋体" w:eastAsia="新宋体" w:cs="新宋体"/>
                <w:bCs/>
                <w:sz w:val="22"/>
                <w:szCs w:val="22"/>
              </w:rPr>
              <w:t>提供的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培训方案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培训计划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、时间安排、培训范围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、师资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力量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等内容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）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的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科学性、合理性、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可行性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由专家比较打分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。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（0-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5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售后服务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5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根据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投标人</w:t>
            </w:r>
            <w:r>
              <w:rPr>
                <w:rFonts w:ascii="新宋体" w:hAnsi="新宋体" w:eastAsia="新宋体" w:cs="新宋体"/>
                <w:bCs/>
                <w:sz w:val="22"/>
                <w:szCs w:val="22"/>
              </w:rPr>
              <w:t>提供的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售后服务方案（包括售后服务标准、服务人员配备、故障响应修复时间方式及保障措施）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的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科学性、合理性、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可行性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由专家比较打分</w:t>
            </w: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。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（0-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50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z w:val="22"/>
                <w:szCs w:val="22"/>
              </w:rPr>
              <w:t>8</w:t>
            </w:r>
          </w:p>
        </w:tc>
        <w:tc>
          <w:tcPr>
            <w:tcW w:w="2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业绩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3</w:t>
            </w:r>
          </w:p>
        </w:tc>
        <w:tc>
          <w:tcPr>
            <w:tcW w:w="56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/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投标人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提供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20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20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年1月1日（以合同签订时间为准）起至今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签订的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同类项目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合同业绩，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每提供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一份有效业绩得1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分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，最高得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3分</w:t>
            </w:r>
            <w:r>
              <w:rPr>
                <w:rFonts w:ascii="新宋体" w:hAnsi="新宋体" w:eastAsia="新宋体" w:cs="新宋体"/>
                <w:b w:val="0"/>
                <w:bCs/>
                <w:sz w:val="22"/>
                <w:szCs w:val="22"/>
              </w:rPr>
              <w:t>。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  <w:t>（须提供</w:t>
            </w:r>
            <w:r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  <w:t>合同复印件并加盖公章，不提供</w:t>
            </w:r>
            <w:r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  <w:t>不得分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  <w:t>）</w:t>
            </w:r>
          </w:p>
        </w:tc>
      </w:tr>
    </w:tbl>
    <w:p>
      <w:pPr>
        <w:pStyle w:val="7"/>
        <w:autoSpaceDN w:val="0"/>
        <w:spacing w:line="460" w:lineRule="exact"/>
        <w:ind w:left="660" w:firstLine="0" w:firstLineChars="0"/>
        <w:rPr>
          <w:rFonts w:cs="新宋体" w:asciiTheme="minorEastAsia" w:hAnsiTheme="minorEastAsia"/>
          <w:bCs/>
          <w:sz w:val="22"/>
        </w:rPr>
      </w:pPr>
    </w:p>
    <w:p>
      <w:pPr>
        <w:spacing w:line="340" w:lineRule="exact"/>
        <w:rPr>
          <w:szCs w:val="28"/>
        </w:rPr>
      </w:pPr>
    </w:p>
    <w:p>
      <w:pPr>
        <w:rPr>
          <w:rFonts w:cs="新宋体" w:asciiTheme="minorEastAsia" w:hAnsiTheme="minorEastAsia"/>
          <w:b/>
          <w:sz w:val="30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CD684"/>
    <w:multiLevelType w:val="singleLevel"/>
    <w:tmpl w:val="FDFCD68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CC5E7C"/>
    <w:multiLevelType w:val="multilevel"/>
    <w:tmpl w:val="2FCC5E7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E52199"/>
    <w:multiLevelType w:val="multilevel"/>
    <w:tmpl w:val="2FE5219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新宋体" w:hAnsi="新宋体" w:eastAsia="新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361AB7"/>
    <w:multiLevelType w:val="multilevel"/>
    <w:tmpl w:val="3C361AB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77C623"/>
    <w:multiLevelType w:val="singleLevel"/>
    <w:tmpl w:val="3F77C6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1C306E8"/>
    <w:multiLevelType w:val="multilevel"/>
    <w:tmpl w:val="41C306E8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2E30A1"/>
    <w:multiLevelType w:val="multilevel"/>
    <w:tmpl w:val="4D2E30A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B864AF"/>
    <w:multiLevelType w:val="multilevel"/>
    <w:tmpl w:val="5FB864AF"/>
    <w:lvl w:ilvl="0" w:tentative="0">
      <w:start w:val="1"/>
      <w:numFmt w:val="decimal"/>
      <w:lvlText w:val="%1."/>
      <w:lvlJc w:val="left"/>
      <w:pPr>
        <w:ind w:left="1080" w:hanging="420"/>
      </w:p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abstractNum w:abstractNumId="8">
    <w:nsid w:val="727B3999"/>
    <w:multiLevelType w:val="multilevel"/>
    <w:tmpl w:val="727B399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065AF3"/>
    <w:multiLevelType w:val="multilevel"/>
    <w:tmpl w:val="7F065A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75121E2"/>
    <w:rsid w:val="00043298"/>
    <w:rsid w:val="00077129"/>
    <w:rsid w:val="00141F19"/>
    <w:rsid w:val="00236BA2"/>
    <w:rsid w:val="003F2249"/>
    <w:rsid w:val="00414077"/>
    <w:rsid w:val="00526B04"/>
    <w:rsid w:val="00AF1960"/>
    <w:rsid w:val="00C22CA6"/>
    <w:rsid w:val="00E30EA1"/>
    <w:rsid w:val="1E9518D8"/>
    <w:rsid w:val="1FDB1479"/>
    <w:rsid w:val="23FF5390"/>
    <w:rsid w:val="26BF1825"/>
    <w:rsid w:val="2759B164"/>
    <w:rsid w:val="292FF3E0"/>
    <w:rsid w:val="37F731B8"/>
    <w:rsid w:val="37FB5A1D"/>
    <w:rsid w:val="3D79D7ED"/>
    <w:rsid w:val="3DF56717"/>
    <w:rsid w:val="3F3B7D25"/>
    <w:rsid w:val="3F46B1DD"/>
    <w:rsid w:val="3FFD23C4"/>
    <w:rsid w:val="47F5B492"/>
    <w:rsid w:val="56EF0B3B"/>
    <w:rsid w:val="5DBF089C"/>
    <w:rsid w:val="5DD7E102"/>
    <w:rsid w:val="5DDF84CE"/>
    <w:rsid w:val="5EEF8F16"/>
    <w:rsid w:val="5EF72AA7"/>
    <w:rsid w:val="5F5F2FAE"/>
    <w:rsid w:val="5FE4B9DF"/>
    <w:rsid w:val="5FEDDBD3"/>
    <w:rsid w:val="6AFF3E59"/>
    <w:rsid w:val="6EFEB08A"/>
    <w:rsid w:val="6FDE499F"/>
    <w:rsid w:val="6FEB792C"/>
    <w:rsid w:val="6FFE0BA0"/>
    <w:rsid w:val="737D394B"/>
    <w:rsid w:val="77667575"/>
    <w:rsid w:val="77FE035B"/>
    <w:rsid w:val="77FE6B64"/>
    <w:rsid w:val="78F5BBDB"/>
    <w:rsid w:val="7CEF427A"/>
    <w:rsid w:val="7CFD91E0"/>
    <w:rsid w:val="7DF8AADB"/>
    <w:rsid w:val="7DFF2E37"/>
    <w:rsid w:val="7EFF3662"/>
    <w:rsid w:val="7FF348D8"/>
    <w:rsid w:val="88FD0D08"/>
    <w:rsid w:val="918FF782"/>
    <w:rsid w:val="91EFC338"/>
    <w:rsid w:val="957B27FE"/>
    <w:rsid w:val="9AFF5340"/>
    <w:rsid w:val="A5BF6F4B"/>
    <w:rsid w:val="A9DFE291"/>
    <w:rsid w:val="ABFFE32D"/>
    <w:rsid w:val="AFF880BF"/>
    <w:rsid w:val="B3BF9700"/>
    <w:rsid w:val="BD7FF8E9"/>
    <w:rsid w:val="DE9AE6D0"/>
    <w:rsid w:val="DE9FDB61"/>
    <w:rsid w:val="DFF57C2D"/>
    <w:rsid w:val="E53F66A1"/>
    <w:rsid w:val="E75121E2"/>
    <w:rsid w:val="EAADFC33"/>
    <w:rsid w:val="ED7F3E57"/>
    <w:rsid w:val="EF599B0E"/>
    <w:rsid w:val="EFEF45F8"/>
    <w:rsid w:val="F5F7C8A3"/>
    <w:rsid w:val="F67B7AA3"/>
    <w:rsid w:val="F6EA9899"/>
    <w:rsid w:val="F7554A37"/>
    <w:rsid w:val="F7B4DC04"/>
    <w:rsid w:val="F7FFF938"/>
    <w:rsid w:val="FB6EF069"/>
    <w:rsid w:val="FBFAD8A3"/>
    <w:rsid w:val="FBFFF681"/>
    <w:rsid w:val="FCDFDD8A"/>
    <w:rsid w:val="FCEE62E2"/>
    <w:rsid w:val="FDFF61B6"/>
    <w:rsid w:val="FE7BC086"/>
    <w:rsid w:val="FEFF73BA"/>
    <w:rsid w:val="FF27DFCF"/>
    <w:rsid w:val="FF7FFBE2"/>
    <w:rsid w:val="FFF744CC"/>
    <w:rsid w:val="FF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仿宋_GB2312"/>
      <w:b/>
      <w:kern w:val="0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8">
    <w:name w:val="纯文本1"/>
    <w:basedOn w:val="1"/>
    <w:qFormat/>
    <w:uiPriority w:val="0"/>
    <w:pPr>
      <w:widowControl/>
      <w:jc w:val="left"/>
    </w:pPr>
    <w:rPr>
      <w:rFonts w:hint="eastAsia"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1032</Words>
  <Characters>5887</Characters>
  <Lines>49</Lines>
  <Paragraphs>13</Paragraphs>
  <TotalTime>110</TotalTime>
  <ScaleCrop>false</ScaleCrop>
  <LinksUpToDate>false</LinksUpToDate>
  <CharactersWithSpaces>6906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2023-08-08T18:38:00Z</dcterms:created>
  <dc:creator>1125</dc:creator>
  <cp:lastModifiedBy>WPS_1559701847</cp:lastModifiedBy>
  <dcterms:modified xsi:type="dcterms:W3CDTF">2023-10-25T07:40:04Z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94D22FC6308A5F45CE343765BB63B977_43</vt:lpwstr>
  </property>
</Properties>
</file>